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ÖZET</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ve televizyon bireylerin ve toplumların gözü ve kulağı olmasının yanı sıra, aynı zamanda en büyük haber kaynağı ve yaşadığı dünyayı algılama araçlarıdır. Bunun yanı sıra sinema da duygularımıza hitap eden ve dünyayı daha anlamlı kılmamızı sağlayan sanat dallarından biridir. Dolayısıyla bu kadar büyük bir öneme sahip olması sebebiyle Radyo, TV ve Sinema Bölümü kariyer olanakları konusunda geniş bir yelpazeye sahiptir.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Eğitim–öğretimin uluslararası standart ve kalite düzeyinde olması amacıyla Radyo, TV ve Sinema Bölümü çalışmalarını sürdürmektedir. Bu çalışmalar bölümümüzün misyon ve vizyonu doğrultusunda bulunması gereken bilgi, beceri ve mesleki yetkinlikler program çıktıları olarak tanımlanarak sınıflandırılmıştır: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hyperlink xmlns:r="http://schemas.openxmlformats.org/officeDocument/2006/relationships" r:id="rId70336a02e32c2b855"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http://radyotvsinema.iletisim.trabzon.edu.tr/S/3446/hakkimizda</w:t>
        </w:r>
      </w:hyperlink>
      <w:r>
        <w:rPr>
          <w:rFonts w:ascii="Times New Roman" w:hAnsi="Times New Roman" w:eastAsia="Times New Roman" w:cs="Times New Roman"/>
          <w:color w:val="000000"/>
          <w:sz w:val="24"/>
          <w:szCs w:val="24"/>
        </w:rPr>
        <w:t xml:space="preserve"> )</w:t>
      </w:r>
    </w:p>
    <w:p>
      <w:pPr>
        <w:numPr>
          <w:ilvl w:val="0"/>
          <w:numId w:val="11748"/>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Bireysel ve toplumsal gelişmelere duyarlı, toplumsal ve kamusal sorumluluğun bilincinde, değişen teknoloji ve gelişen bilimsel çalışmalar temelinde kendini geliştirebilir.</w:t>
      </w:r>
    </w:p>
    <w:p>
      <w:pPr>
        <w:numPr>
          <w:ilvl w:val="0"/>
          <w:numId w:val="11748"/>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İletişim kuramlarını ve iletişim alanındaki farklı kuram model ve eleştirel çalışmaları ve yöntemlerini bilir.</w:t>
      </w:r>
    </w:p>
    <w:p>
      <w:pPr>
        <w:numPr>
          <w:ilvl w:val="0"/>
          <w:numId w:val="11748"/>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İletişim ve medya alanında mesleki olarak kamera kullanımı, senaryo yazımı, sunuculuk, kurgu, vb. gibi aynı anda birden fazla uygulamalı tecrübeler edinir.</w:t>
      </w:r>
    </w:p>
    <w:p>
      <w:pPr>
        <w:numPr>
          <w:ilvl w:val="0"/>
          <w:numId w:val="11748"/>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Bölümün farklı uzmanlık alanları doğrultusunda üretimler gerçekleştirerek, kamu yararını gözeten çalışmaları ortaya çıkarabilir.</w:t>
      </w:r>
    </w:p>
    <w:p>
      <w:pPr>
        <w:numPr>
          <w:ilvl w:val="0"/>
          <w:numId w:val="11748"/>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Sosyal bilimler başta olmak üzere, radyo, televizyon ve sinema alanında tarihsel gelişmeleri eleştirel ve yaratıcı bir tarzda yeniden ele alarak, kendi teorik ve uygulama konusundaki bilgileriyle yeni tarzda üretimler gerçekleştirebilir.</w:t>
      </w:r>
    </w:p>
    <w:p>
      <w:pPr>
        <w:numPr>
          <w:ilvl w:val="0"/>
          <w:numId w:val="11748"/>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Kuramsal ve uygulamalı olarak bir bilimsel araştırmanın nasıl yapılması gerektiğini bilir ve öğrenmiş olduğu kuramsal bilgileri iş hayatında uygulamalı olarak hayata geçirebilir.</w:t>
      </w:r>
    </w:p>
    <w:p>
      <w:pPr>
        <w:numPr>
          <w:ilvl w:val="0"/>
          <w:numId w:val="11748"/>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Görsel ve işitsel kitle araçlarının teknolojik gelişmelerini bilir, her güncellenen gelişmeleri takip edebilir.</w:t>
      </w:r>
    </w:p>
    <w:p>
      <w:pPr>
        <w:numPr>
          <w:ilvl w:val="0"/>
          <w:numId w:val="11748"/>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Farklı disiplinleri bir araya getirerek yaratıcı üretimler gerçekleştirebilir.</w:t>
      </w:r>
    </w:p>
    <w:p>
      <w:pPr>
        <w:numPr>
          <w:ilvl w:val="0"/>
          <w:numId w:val="11748"/>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Ulusal ve uluslararası düzeyde politik, ekonomik, politik ve sosyal gelişmeleri kavrayabilir ve medyanın etkin olup olmadığını fark edebilir.</w:t>
      </w:r>
    </w:p>
    <w:p>
      <w:pPr>
        <w:numPr>
          <w:ilvl w:val="0"/>
          <w:numId w:val="11748"/>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Toplumsal ve evrensel iletişim süreçlerinin arka planındaki tarihsel, kültürel, ekonomik, sosyal ve psikolojik kökenli temel kaynakların ayırdına varır.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TV ve Sinema Bölümü, bilgi ve becerilerinin yanında tutum, davranış ve mesleki yeterlilikler olarak da çalışmalarını kapsamlı bir şekilde devam ettirmektedir.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 </w:t>
      </w:r>
      <w:hyperlink xmlns:r="http://schemas.openxmlformats.org/officeDocument/2006/relationships" r:id="rId55486a02e32c2be39"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http://radyotvsinema.iletisim.trabzon.edu.tr/S/3446/hakkimizda</w:t>
        </w:r>
      </w:hyperlink>
      <w:r>
        <w:rPr>
          <w:rFonts w:ascii="Times New Roman" w:hAnsi="Times New Roman" w:eastAsia="Times New Roman" w:cs="Times New Roman"/>
          <w:color w:val="000000"/>
          <w:sz w:val="24"/>
          <w:szCs w:val="24"/>
        </w:rPr>
        <w:t xml:space="preserve"> )</w:t>
      </w:r>
    </w:p>
    <w:p>
      <w:pPr>
        <w:numPr>
          <w:ilvl w:val="0"/>
          <w:numId w:val="16517"/>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Bir radyo ya da televizyon programının kurgusal, teknik bilgilerinin yanı sıra, program içerik ve formatlarının arka planını analiz ederek, gerektiğinde eleştirel gözle bakar.</w:t>
      </w:r>
    </w:p>
    <w:p>
      <w:pPr>
        <w:numPr>
          <w:ilvl w:val="0"/>
          <w:numId w:val="16517"/>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İletişim bilimleri ve kitle iletişim araçları ve sinema kuramları konusunda gerekli bilgilere sahip olarak, mesleğine uygun olarak değerlendirir.</w:t>
      </w:r>
    </w:p>
    <w:p>
      <w:pPr>
        <w:numPr>
          <w:ilvl w:val="0"/>
          <w:numId w:val="16517"/>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Ulusal, uluslararası ve yerel medyanın radyo, TV ve sinema alanındaki üretimleri takip ederek, yayın ve üretim süreçlerini değerlendirir.</w:t>
      </w:r>
    </w:p>
    <w:p>
      <w:pPr>
        <w:numPr>
          <w:ilvl w:val="0"/>
          <w:numId w:val="16517"/>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Temel hak ve hürriyete saygılı, dürüst, şeffaf ve insan haklarına saygılı, toplumsal, bilimsel ve mesleki etik değerlere uygun davranır.</w:t>
      </w:r>
    </w:p>
    <w:p>
      <w:pPr>
        <w:numPr>
          <w:ilvl w:val="0"/>
          <w:numId w:val="16517"/>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Irkçı, cinsiyetçi ve her türlü ayrımcı politikaların farkına varır, ayırt eder ve bunlara karşı duyarlı davranır.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İletişim Fakültesi Radyo, TV ve Sinema Bölümü 2024-2025 ders yılı eğitim- öğretim yılında 27 öğrenciyle birlikte akademik hayatına başlamıştır. 2025-2026 ders yılı eğitim- öğretim yılında ise 31 öğrenci alınarak toplamda 58 öğrenci bulunmaktadır.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rapor, öğrenci alımı aşamasında olan bölümümüzün kurulma aşamasındaki sürecine temel ve ilerleyen yıllara kaynak oluşturması amacıyla hazırlanmıştır. Radyo, TV ve Sinema Bölümü mevcut akademik personeliyle, bölümün ders müfredatıyla ilgili çalışmalarını sürdürmektedir.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RADYO, TV VE SİNEMA BÖLÜMÜ HAKKINDA BİLGİLER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TV ve Sinema Bölümü’nün tarihsel gelişimi, misyonu, vizyonu, organizasyon yapısı ve iyileştirme alanları aşağıda verilen bilgilerden oluşmaktadır.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hyperlink xmlns:r="http://schemas.openxmlformats.org/officeDocument/2006/relationships" r:id="rId65486a02e32c2c31c"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http://radyotvsinema.iletisim.trabzon.edu.tr/S/3450/yonetim</w:t>
        </w:r>
      </w:hyperlink>
      <w:r>
        <w:rPr>
          <w:rFonts w:ascii="Times New Roman" w:hAnsi="Times New Roman" w:eastAsia="Times New Roman" w:cs="Times New Roman"/>
          <w:color w:val="000000"/>
          <w:sz w:val="24"/>
          <w:szCs w:val="24"/>
        </w:rPr>
        <w:t xml:space="preserve"> )</w:t>
      </w:r>
    </w:p>
    <w:p>
      <w:pPr>
        <w:numPr>
          <w:ilvl w:val="0"/>
          <w:numId w:val="18154"/>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İletişim Bilgileri</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Radyo, TV ve Sinema Bölüm Başkanı:</w:t>
      </w:r>
      <w:r>
        <w:rPr>
          <w:rFonts w:ascii="Times New Roman" w:hAnsi="Times New Roman" w:eastAsia="Times New Roman" w:cs="Times New Roman"/>
          <w:color w:val="000000"/>
          <w:sz w:val="24"/>
          <w:szCs w:val="24"/>
        </w:rPr>
        <w:t xml:space="preserve"> Dr. Öğretim Üyesi Hüseyin GENÇALP</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Adres:</w:t>
      </w:r>
      <w:r>
        <w:rPr>
          <w:rFonts w:ascii="Times New Roman" w:hAnsi="Times New Roman" w:eastAsia="Times New Roman" w:cs="Times New Roman"/>
          <w:color w:val="000000"/>
          <w:sz w:val="24"/>
          <w:szCs w:val="24"/>
        </w:rPr>
        <w:t xml:space="preserve"> Trabzon Üniversitesi, İletişim Fakültesi, Fatih Kampüsü 61335 Söğütlü/Trabzon/TÜRKİYE</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Telefon:</w:t>
      </w:r>
      <w:r>
        <w:rPr>
          <w:rFonts w:ascii="Times New Roman" w:hAnsi="Times New Roman" w:eastAsia="Times New Roman" w:cs="Times New Roman"/>
          <w:color w:val="000000"/>
          <w:sz w:val="24"/>
          <w:szCs w:val="24"/>
        </w:rPr>
        <w:t xml:space="preserve"> 0 462 4551613 (Dahili: 1613)</w:t>
      </w:r>
    </w:p>
    <w:p>
      <w:pPr>
        <w:widowControl w:val="on"/>
        <w:pBdr/>
        <w:spacing w:before="240" w:after="240" w:line="240" w:lineRule="auto"/>
        <w:ind w:left="0" w:right="0"/>
        <w:jc w:val="both"/>
      </w:pPr>
      <w:r>
        <w:rPr>
          <w:rFonts w:ascii="Times New Roman" w:hAnsi="Times New Roman" w:eastAsia="Times New Roman" w:cs="Times New Roman"/>
          <w:b/>
          <w:bCs/>
          <w:color w:val="000000"/>
          <w:sz w:val="24"/>
          <w:szCs w:val="24"/>
        </w:rPr>
        <w:t xml:space="preserve">E-Posta:</w:t>
      </w:r>
      <w:r>
        <w:rPr>
          <w:rFonts w:ascii="Times New Roman" w:hAnsi="Times New Roman" w:eastAsia="Times New Roman" w:cs="Times New Roman"/>
          <w:color w:val="000000"/>
          <w:sz w:val="24"/>
          <w:szCs w:val="24"/>
        </w:rPr>
        <w:t xml:space="preserve"> </w:t>
      </w:r>
      <w:hyperlink xmlns:r="http://schemas.openxmlformats.org/officeDocument/2006/relationships" r:id="rId10396a02e32c2c644" w:history="1">
        <w:r>
          <w:rPr>
            <w:rStyle w:val="DefaultParagraphFontPHPDOCX"/>
            <w:rFonts w:ascii="Times New Roman" w:hAnsi="Times New Roman" w:eastAsia="Times New Roman" w:cs="Times New Roman"/>
            <w:color w:val="0000CC"/>
            <w:sz w:val="24"/>
            <w:szCs w:val="24"/>
            <w:u w:val="single" w:color="000000"/>
          </w:rPr>
          <w:t xml:space="preserve">hgencalp@trabzon.edu.tr</w:t>
        </w:r>
      </w:hyperlink>
    </w:p>
    <w:p>
      <w:pPr>
        <w:numPr>
          <w:ilvl w:val="0"/>
          <w:numId w:val="27847"/>
        </w:numPr>
        <w:spacing w:before="0" w:after="0" w:line="240" w:lineRule="auto"/>
        <w:jc w:val="left"/>
        <w:rPr>
          <w:rFonts w:ascii="Times New Roman" w:hAnsi="Times New Roman" w:eastAsia="Times New Roman" w:cs="Times New Roman"/>
          <w:color w:val="000000"/>
          <w:sz w:val="24"/>
          <w:szCs w:val="24"/>
        </w:rPr>
      </w:pPr>
      <w:r>
        <w:rPr>
          <w:rFonts w:ascii="Times New Roman" w:hAnsi="Times New Roman" w:eastAsia="Times New Roman" w:cs="Times New Roman"/>
          <w:b/>
          <w:bCs/>
          <w:color w:val="000000"/>
          <w:sz w:val="24"/>
          <w:szCs w:val="24"/>
        </w:rPr>
        <w:t xml:space="preserve">Tarihsel Gelişimi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TV ve Sinema Bölümü, İletişim Fakültesi’ndeki Halkla İlişkiler ve Reklamcılık ve Gazetecilik bölümleriyle birlikte Karadeniz Teknik Üniversitesi Rektörlüğü’nün talebi üzerine, YÖK ve MEB’in (09.06.2003 gün ve 14407 sayılı yazısı ile) uygun bulunması sonucu, “28.03.1983” Tarihli ve 2809 Sayılı Kanun’un Ek 30. Maddesine Bakanlar Kurulunca, 17.09.2023 tarihinde alınan kararla (Karar Sayısı: 2003/5782) kurulmuş olup, akademik ve teknik alt yapısı çalışmalarını sürdürmektedir. Radyo, TV ve Sinema Bölümü, Radyo, TV ve Sinema Anabilim dalına sahiptir ve 2024-2025 yılında bölüme ilk öğrencilerini almıştır. Bölümde 27 öğrenci bulunmaktadır.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Bölümümüzde 3 Doktor Öğretim Üyesi ve 1 Araştırma Görevlisi yer almaktadır. Yabancı uyruklu akademik personel bulunmamaktadır.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w:t>
      </w:r>
      <w:hyperlink xmlns:r="http://schemas.openxmlformats.org/officeDocument/2006/relationships" r:id="rId40846a02e32c2c826" w:history="1">
        <w:r>
          <w:rPr>
            <w:rStyle w:val="DefaultParagraphFontPHPDOCX"/>
            <w:rFonts w:ascii="Times New Roman" w:hAnsi="Times New Roman" w:eastAsia="Times New Roman" w:cs="Times New Roman"/>
            <w:color w:val="0000CC"/>
            <w:sz w:val="24"/>
            <w:szCs w:val="24"/>
            <w:u w:val="single" w:color="000000"/>
          </w:rPr>
          <w:t xml:space="preserve">http://radyotvsinema.iletisim.trabzon.edu.tr/S/3445/akademik-kadro</w:t>
        </w:r>
      </w:hyperlink>
      <w:r>
        <w:rPr>
          <w:rFonts w:ascii="Times New Roman" w:hAnsi="Times New Roman" w:eastAsia="Times New Roman" w:cs="Times New Roman"/>
          <w:color w:val="000000"/>
          <w:sz w:val="24"/>
          <w:szCs w:val="24"/>
        </w:rPr>
        <w:t xml:space="preserve">)</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A. LİDERLİK, YÖNETİŞİM ve KALİTE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 Liderlik ve Kalite</w:t>
      </w:r>
      <w:r>
        <w:rPr>
          <w:rFonts w:ascii="Times New Roman" w:hAnsi="Times New Roman" w:eastAsia="Times New Roman" w:cs="Times New Roman"/>
          <w:b/>
          <w:bCs/>
          <w:color w:val="000000"/>
          <w:sz w:val="28"/>
          <w:szCs w:val="28"/>
        </w:rPr>
        <w:br/>
        <w:t xml:space="preserve">A.1.1. Yönetişim modeli ve idari yapı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misyon ve stratejik hedeflerine ulaşmasını güvence altına alan ve süreçleriyle uyumlu yönetişim modeli ve idari yapılanması belirlenmiştir.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misyon ve stratejik hedeflerine ulaşmasını güvence altına alan ve süreçleriyle uyumlu yönetişim modeli ve idari yapılanması belirlenmiştir.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4156a02e32c2caee" w:history="1">
        <w:r>
          <w:rPr>
            <w:rStyle w:val="DefaultParagraphFontPHPDOCX"/>
            <w:rFonts w:ascii="Times New Roman" w:hAnsi="Times New Roman" w:eastAsia="Times New Roman" w:cs="Times New Roman"/>
            <w:color w:val="0000FF"/>
            <w:sz w:val="24"/>
            <w:szCs w:val="24"/>
            <w:u w:val="single" w:color="000000"/>
          </w:rPr>
          <w:t xml:space="preserve">(2)A.1.1._1: rts_yönetim</w:t>
        </w:r>
      </w:hyperlink>
    </w:p>
    <w:p>
      <w:pPr>
        <w:widowControl w:val="on"/>
        <w:pBdr/>
        <w:spacing w:before="240" w:after="240" w:line="240" w:lineRule="auto"/>
        <w:ind w:left="0" w:right="0"/>
        <w:jc w:val="left"/>
      </w:pPr>
      <w:hyperlink xmlns:r="http://schemas.openxmlformats.org/officeDocument/2006/relationships" r:id="rId80016a02e32c2cb4e" w:history="1">
        <w:r>
          <w:rPr>
            <w:rStyle w:val="DefaultParagraphFontPHPDOCX"/>
            <w:rFonts w:ascii="Times New Roman" w:hAnsi="Times New Roman" w:eastAsia="Times New Roman" w:cs="Times New Roman"/>
            <w:color w:val="0000FF"/>
            <w:sz w:val="24"/>
            <w:szCs w:val="24"/>
            <w:u w:val="single" w:color="000000"/>
          </w:rPr>
          <w:t xml:space="preserve">(2)A.1.1._2: rts_organizasyon_yapısı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A.1.2. Liderlik</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kalite güvencesi sisteminin yönetilmesi ve kalite kültürünün içselleştirilmesini destekleyen etkin bir liderlik yaklaşımı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A.1.3. Kurumsal dönüşüm kapasitesi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değişim yönetimi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A.1.4. İç kalite güvencesi mekanizmaları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tanımlanmış bir iç kalite güvencesi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A.1.5. Kamuoyunu bilgilendirme ve hesap verebilirlik</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kamuoyunu bilgilendirmek ve hesap verebilirliği gerçekleştirmek üzere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 Misyon ve Stratejik Amaçlar</w:t>
      </w:r>
      <w:r>
        <w:rPr>
          <w:rFonts w:ascii="Times New Roman" w:hAnsi="Times New Roman" w:eastAsia="Times New Roman" w:cs="Times New Roman"/>
          <w:b/>
          <w:bCs/>
          <w:color w:val="000000"/>
          <w:sz w:val="28"/>
          <w:szCs w:val="28"/>
        </w:rPr>
        <w:br/>
        <w:t xml:space="preserve">A.2.1. Misyon, vizyon ve politikalar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Radyo, TV ve Sinema Bölümü'nün kendine özgü misyon, vizyon ve politikaları bulunmaktadır. Misyon: Radyo, TV ve Sinema Bölümü’nün ana misyonu bilimsel çalışma ve sanatsal üretimler ışığında; teknik ve uygulama alanında donanımlı, geleneksel ya da dijital içerik ve üretimler yapabilen, ülkesine ve dünyaya faydalı, gelişen ve değişen dünya sorunlarına duyarlı, etik ve demokratik ilkelere dayalı, gerekli olan uzmanlık ve teknik bilgilere sahip medya profesyonelleri ve iletişimciler yetiştirmektir. Radyo Televizyon ve Sinema Bölümü akademik kadrosunu oluşturma aşamasında olmasına ve henüz öğrenci alımı gerçekleşmemesine rağmen; Film Atölyesi kısa filme ve sinemaya ilgi duyan öğrencileri bir araya getirerek, misyonumuz doğrultusunda kendi filmlerini üretebilmektedir. Vizyon: Gelişen teknoloji ışığında teknik bilgilerin yanı sıra bilim ve sanatı içinde barındıran, uzmanlaşmaya yönelik öğrenme odaklı ve yaratıcılığı destekleyen, ulusal ve uluslar arası arenada çeşitli yarışmalar ve festivallerde üniversitemizi temsil etmek bölümümüzün ana vizyonunu oluşturmaktadır. Dünyada dördüncü güç olarak kabul edilen iletişim ve medya sektörünün beşinci güç olan internet ışığında daha da güçlenen bir hal alması ve bu duruma televizyon ve radyonun ve hatta sinemanın da kolay uyum sağlamasıyla birlikte, bu üç alanın önemi giderek daha da artmıştır. Dolayısıyla Radyo, Sinema ve Televizyon programında, iletişim bilimleriyle ilgili teorik bilgilerin yanı sıra teknoloji odaklı uygulama atölyeleriyle birlikte mezun olan öğrencilerin çalışma hayatına hem genel kültür hem de alanında teorik -uygulama konusunda uzman bireyler hazırlanması amaçlanmaktadır. Radyo,Televizyon ve Sinema Bölümü Çıktıları: Eğitim–öğretimin uluslararası standart ve kalite düzeyinde olması amacıyla Trabzon Üniversitesi tüm akademik birimleriyle Bologna Süreci çalışmalarını sürdürmektedir. Bu çalışmalar fakültemizde ve bölümümüzde de devam etmektedir. Bu kapsamda mezunlarımızda bulunması gereken bilgi, beceri ve mesleki yetkinlikler program çıktıları olarak tanımlanmış ve aşağıda sınıflandırılarak sıralanmıştır: Bilgi: Radyo, televizyon ve sinema temel kavram ve uygulamalarını bilir. Bireysel ve toplumsal gelişmelere duyarlı, toplumsal ve kamusal sorumluluğun bilincinde, değişen teknoloji ve gelişen bilimsel çalışmalar temelinde kendini geliştirebilir. İletişim kuramlarını ve iletişim alanındaki farklı kuram model ve eleştirel çalışmaları ve yöntemlerini bilir. İletişim ve medya alanında mesleki olarak kamera kullanımı, senaryo yazımı, sunuculuk, kurgu, vb. gibi aynı anda birden fazla uygulamalı tecrübeler edinir. Bölümün farklı uzmanlık alanları doğrultusunda üretimler gerçekleştirerek, kamu yararını gözeten çalışmaları ortaya çıkarabilir. Sosyal bilimler başta olmak üzere, radyo, televizyon ve sinema alanında tarihsel gelişmeleri eleştirel ve yaratıcı bir tarzda yeniden ele alarak, kendi teorik ve uygulama konusundaki bilgileriyle yeni tarzda üretimler gerçekleştirebilir. Kuramsal ve uygulamalı olarak bir bilimsel araştırmanın nasıl yapılması gerektiğini bilir ve öğrenmiş olduğu kuramsal bilgileri iş hayatında uygulamalı olarak hayata geçirebilir. Görsel ve işitsel kitle araçlarının teknolojik gelişmelerini bilir, her güncellenen gelişmeleri takip edebilir. Farklı disiplinleri bir araya getirerek yaratıcı üretimler gerçekleştirebilir. Ulusal ve uluslar arası düzeyde politik, ekonomik, politik ve sosyal gelişmeleri kavrayabilir ve medyanın etkin olup olmadığını fark edebilir. Beceri: Radyo, televizyon ve sinema mesleğini yürütebilmek gerekli kuramsal bilgilere sahip olur ve teknolojik araç ve gereçleri kullanır. Radyo, TV ve Sinema alanında yaratıcı görsel ve işitsel anlatı biçimleriyle kendini ifade eder. Radyo ya da televizyon programının tüm süreçlerinin işleyişinin nasıl olduğunu bilir, bu alanda önemli görevler üstlenerek, gerekli yönlendirmeleri yapabilir ve çalışmayı rahatlıkla yönetebilir. Toplumsal ve evrensel iletişim süreçlerinin arka planındaki tarihsel, kültürel, ekonomik, sosyal ve psikolojik kökenli temel kaynakların ayırdına varır. Toplumu ve dünyayı etkileyebilecek sinema filmleri çekebilir ve sanatsal faaliyetlere katkı sağlayabilir. Tutum, Davranış ve Mesleki Yetkinlikler: Bir radyo ya da televizyon programının kurgusal, teknik bilgilerinin yanı sıra, program içerik ve formatlarının arka planını analiz ederek, gerektiğinde eleştirel gözle bakar. İletişim bilimleri ve kitle iletişim araçları ve sinema kuramları konusunda gerekli bilgilere sahip olarak, mesleğine uygun olarak değerlendirir. Ulusal, uluslar arası ve yerel medyanın radyo, TV ve sinema alanındaki üretimleri takip ederek, yayın ve üretim süreçlerini değerlendirir. Temel hak ve hürriyete saygılı, dürüst, şeffaf ve insan haklarına saygılı, toplumsal, bilimsel ve mesleki etik değerlere uygun davranır. Irkçı, cinsiyetçi ve her türlü ayrımcı politikaların farkına varır, ayırt eder ve bunlara karşı duyarlı davranır.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tanımlanmış ve kuruma özgü misyon, vizyon ve politikaları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56966a02e32c2d380" w:history="1">
        <w:r>
          <w:rPr>
            <w:rStyle w:val="DefaultParagraphFontPHPDOCX"/>
            <w:rFonts w:ascii="Times New Roman" w:hAnsi="Times New Roman" w:eastAsia="Times New Roman" w:cs="Times New Roman"/>
            <w:color w:val="0000FF"/>
            <w:sz w:val="24"/>
            <w:szCs w:val="24"/>
            <w:u w:val="single" w:color="000000"/>
          </w:rPr>
          <w:t xml:space="preserve">(2)A.2.1._1: rts_misyon</w:t>
        </w:r>
      </w:hyperlink>
    </w:p>
    <w:p>
      <w:pPr>
        <w:widowControl w:val="on"/>
        <w:pBdr/>
        <w:spacing w:before="240" w:after="240" w:line="240" w:lineRule="auto"/>
        <w:ind w:left="0" w:right="0"/>
        <w:jc w:val="left"/>
      </w:pPr>
      <w:hyperlink xmlns:r="http://schemas.openxmlformats.org/officeDocument/2006/relationships" r:id="rId41266a02e32c2d3e1" w:history="1">
        <w:r>
          <w:rPr>
            <w:rStyle w:val="DefaultParagraphFontPHPDOCX"/>
            <w:rFonts w:ascii="Times New Roman" w:hAnsi="Times New Roman" w:eastAsia="Times New Roman" w:cs="Times New Roman"/>
            <w:color w:val="0000FF"/>
            <w:sz w:val="24"/>
            <w:szCs w:val="24"/>
            <w:u w:val="single" w:color="000000"/>
          </w:rPr>
          <w:t xml:space="preserve">(2)A.2.1._2: rts_vizyon</w:t>
        </w:r>
      </w:hyperlink>
    </w:p>
    <w:p>
      <w:pPr>
        <w:widowControl w:val="on"/>
        <w:pBdr/>
        <w:spacing w:before="240" w:after="240" w:line="240" w:lineRule="auto"/>
        <w:ind w:left="0" w:right="0"/>
        <w:jc w:val="left"/>
      </w:pPr>
      <w:hyperlink xmlns:r="http://schemas.openxmlformats.org/officeDocument/2006/relationships" r:id="rId55126a02e32c2d440" w:history="1">
        <w:r>
          <w:rPr>
            <w:rStyle w:val="DefaultParagraphFontPHPDOCX"/>
            <w:rFonts w:ascii="Times New Roman" w:hAnsi="Times New Roman" w:eastAsia="Times New Roman" w:cs="Times New Roman"/>
            <w:color w:val="0000FF"/>
            <w:sz w:val="24"/>
            <w:szCs w:val="24"/>
            <w:u w:val="single" w:color="000000"/>
          </w:rPr>
          <w:t xml:space="preserve">(2)A.2.1._3: rts_kariyer_olanakları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A.2.2. Stratejik amaç ve hedefler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stratejik planı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A.2.3. Performans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performans yönetimi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 Yönetim Sistemleri</w:t>
      </w:r>
      <w:r>
        <w:rPr>
          <w:rFonts w:ascii="Times New Roman" w:hAnsi="Times New Roman" w:eastAsia="Times New Roman" w:cs="Times New Roman"/>
          <w:b/>
          <w:bCs/>
          <w:color w:val="000000"/>
          <w:sz w:val="28"/>
          <w:szCs w:val="28"/>
        </w:rPr>
        <w:br/>
        <w:t xml:space="preserve">A.3.1. Bilgi yönetim sistemi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bilgi yönetim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A.3.2. İnsan kaynakları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insan kaynakları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A.3.3. Finansal yönetim</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finansal kaynakların yönetimine ilişkin tanımlı süreçler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A.3.4. Süreç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eğitim ve öğretim, araştırma ve geliştirme, toplumsal katkı ve yönetim sistemine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 Paydaş Katılımı</w:t>
      </w:r>
      <w:r>
        <w:rPr>
          <w:rFonts w:ascii="Times New Roman" w:hAnsi="Times New Roman" w:eastAsia="Times New Roman" w:cs="Times New Roman"/>
          <w:b/>
          <w:bCs/>
          <w:color w:val="000000"/>
          <w:sz w:val="28"/>
          <w:szCs w:val="28"/>
        </w:rPr>
        <w:br/>
        <w:t xml:space="preserve">A.4.1. İç ve dış paydaş katılımı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iç kalite güvencesi sistemine paydaş katılımını sağlayacak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A.4.2. Öğrenci geri bildirimleri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geri bildirimlerinin alınmasına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A.4.3. Mezun ilişkileri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mezun izleme sistemi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 Uluslararasılaşma</w:t>
      </w:r>
      <w:r>
        <w:rPr>
          <w:rFonts w:ascii="Times New Roman" w:hAnsi="Times New Roman" w:eastAsia="Times New Roman" w:cs="Times New Roman"/>
          <w:b/>
          <w:bCs/>
          <w:color w:val="000000"/>
          <w:sz w:val="28"/>
          <w:szCs w:val="28"/>
        </w:rPr>
        <w:br/>
        <w:t xml:space="preserve">A.5.1. Uluslararasılaşma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süreçlerine ilişkin yönetsel ve organizasyonel yapılanması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A.5.2. Uluslararasılaşma kaynakları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uluslararasılaşma faaliyetlerini sürdürebilmesi için yeterli kaynak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A.5.3. Uluslararasılaşma performansı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uluslararasılaşma faaliyeti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B. EĞİTİM VE ÖĞRETİM</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 Program Tasarımı, Değerlendirmesi ve Güncellenmesi</w:t>
      </w:r>
      <w:r>
        <w:rPr>
          <w:rFonts w:ascii="Times New Roman" w:hAnsi="Times New Roman" w:eastAsia="Times New Roman" w:cs="Times New Roman"/>
          <w:b/>
          <w:bCs/>
          <w:color w:val="000000"/>
          <w:sz w:val="28"/>
          <w:szCs w:val="28"/>
        </w:rPr>
        <w:br/>
        <w:t xml:space="preserve">B.1.1. Programların tasarımı ve onayı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programların tasarımı ve onayına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B.1.2. Programın ders dağılım dengesi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Ders dağılımına ilişkin olarak; öğretim elemanlarının uzmanlık alanına,  alan/meslek bilgisi/genel kültür, zorunlu- seçmeli ders dengesine, kültürel derinlik kazanma, farklı disiplinleri tanıma imkânları gibi boyutlara yönelik ilke ve yöntemleri içeren tanımlı süreçler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16146a02e32c2e912" w:history="1">
        <w:r>
          <w:rPr>
            <w:rStyle w:val="DefaultParagraphFontPHPDOCX"/>
            <w:rFonts w:ascii="Times New Roman" w:hAnsi="Times New Roman" w:eastAsia="Times New Roman" w:cs="Times New Roman"/>
            <w:color w:val="0000FF"/>
            <w:sz w:val="24"/>
            <w:szCs w:val="24"/>
            <w:u w:val="single" w:color="000000"/>
          </w:rPr>
          <w:t xml:space="preserve">(2)B.1.2._1: rts_ders_programı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B.1.3. Ders kazanımlarının program çıktılarıyla uyumu</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 kazanımları program çıktıları ile eşleştirilmemiştir.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B.1.4. Öğrenci iş yüküne dayalı ders tasarımı</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Dersler öğrenci iş yüküne dayalı olarak tasarlanmamıştır.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B.1.5. Programların izlenmesi ve güncellenmesi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 çıktılarının izlenmesine ve güncellenmesine ilişkin mekanizma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B.1.6. Eğitim ve öğretim süreçlerinin yönetimi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Kurumda eğitim ve öğretim süreçlerini bütüncül olarak yönetmek üzere sistem, ilke ve kurallar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Kurumda eğitim ve öğretim süreçlerini  bütüncül olarak yönetmek üzere sistem, ilke ve kurallar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3626a02e32c2ef73" w:history="1">
        <w:r>
          <w:rPr>
            <w:rStyle w:val="DefaultParagraphFontPHPDOCX"/>
            <w:rFonts w:ascii="Times New Roman" w:hAnsi="Times New Roman" w:eastAsia="Times New Roman" w:cs="Times New Roman"/>
            <w:color w:val="0000FF"/>
            <w:sz w:val="24"/>
            <w:szCs w:val="24"/>
            <w:u w:val="single" w:color="000000"/>
          </w:rPr>
          <w:t xml:space="preserve">(2)B.1.6._1: rts_ders_programı</w:t>
        </w:r>
      </w:hyperlink>
    </w:p>
    <w:p>
      <w:pPr>
        <w:widowControl w:val="on"/>
        <w:pBdr/>
        <w:spacing w:before="240" w:after="240" w:line="240" w:lineRule="auto"/>
        <w:ind w:left="0" w:right="0"/>
        <w:jc w:val="left"/>
      </w:pPr>
      <w:hyperlink xmlns:r="http://schemas.openxmlformats.org/officeDocument/2006/relationships" r:id="rId61716a02e32c2efd4" w:history="1">
        <w:r>
          <w:rPr>
            <w:rStyle w:val="DefaultParagraphFontPHPDOCX"/>
            <w:rFonts w:ascii="Times New Roman" w:hAnsi="Times New Roman" w:eastAsia="Times New Roman" w:cs="Times New Roman"/>
            <w:color w:val="0000FF"/>
            <w:sz w:val="24"/>
            <w:szCs w:val="24"/>
            <w:u w:val="single" w:color="000000"/>
          </w:rPr>
          <w:t xml:space="preserve">(2)B.1.6._2: rts_sınav_programı</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 Programların Yürütülmesi (Öğrenci Merkezli Öğrenme, Öğretme ve Değerlendirme)</w:t>
      </w:r>
      <w:r>
        <w:rPr>
          <w:rFonts w:ascii="Times New Roman" w:hAnsi="Times New Roman" w:eastAsia="Times New Roman" w:cs="Times New Roman"/>
          <w:b/>
          <w:bCs/>
          <w:color w:val="000000"/>
          <w:sz w:val="28"/>
          <w:szCs w:val="28"/>
        </w:rPr>
        <w:br/>
        <w:t xml:space="preserve">B.2.1. Öğretim yöntem ve teknikleri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Öğrenme-öğretme süreçlerinde öğrenci merkezli yaklaşımın uygulanmasına yönelik öğrencilerle set gezisi düzenlenmiştir.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Öğrenme-öğretme süreçlerinde öğrenci merkezli yaklaşımın uygulanmasına yönelik ilke, kural ve planlamalar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3786a02e32c2f268" w:history="1">
        <w:r>
          <w:rPr>
            <w:rStyle w:val="DefaultParagraphFontPHPDOCX"/>
            <w:rFonts w:ascii="Times New Roman" w:hAnsi="Times New Roman" w:eastAsia="Times New Roman" w:cs="Times New Roman"/>
            <w:color w:val="0000FF"/>
            <w:sz w:val="24"/>
            <w:szCs w:val="24"/>
            <w:u w:val="single" w:color="000000"/>
          </w:rPr>
          <w:t xml:space="preserve">(2)B.2.1._1: dizi_seti_teknik_gezi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B.2.2. Ölçme ve değerlendirme</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Programlarda öğrenci merkezli ölçme ve değerlendirme yaklaşımları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B.2.3. Öğrenci kabulü, önceki öğrenmenin tanınması ve kredilendirilmesi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 kabulü, önceki öğrenmenin tanınması ve kredilendirilmesine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B.2.4. Yeterliliklerin sertifikalandırılması ve diploma</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diploma onayı ve diğer yeterliliklerin sertifikalandırılmasına ilişkin süreçler tanımlanmamıştır.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 Öğrenme Kaynakları ve Akademik Destek Hizmetleri</w:t>
      </w:r>
      <w:r>
        <w:rPr>
          <w:rFonts w:ascii="Times New Roman" w:hAnsi="Times New Roman" w:eastAsia="Times New Roman" w:cs="Times New Roman"/>
          <w:b/>
          <w:bCs/>
          <w:color w:val="000000"/>
          <w:sz w:val="28"/>
          <w:szCs w:val="28"/>
        </w:rPr>
        <w:br/>
        <w:t xml:space="preserve">B.3.1. Öğrenme ortam ve kaynakları</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Sınıf ve Laboratuvarlar: Fakültemizde; teknolojik donanıma sahip 7 adet lisans sınıfı, 2 adet yüksek lisans sınıfı, 1 adet doktora sınıfı ve 1 adet bilgisayar laboratuvarı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eğitim-öğretim faaliyetlerini sürdürebilmek için uygun nitelik ve nicelikte öğrenme kaynaklarının (sınıf, laboratuvar, stüdyo, öğrenme yönetim sistemi, basılı/e-kaynak ve materyal, insan kaynakları vb.) oluşturulmasına yönelik planları vardır.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88096a02e32c2f8fc" w:history="1">
        <w:r>
          <w:rPr>
            <w:rStyle w:val="DefaultParagraphFontPHPDOCX"/>
            <w:rFonts w:ascii="Times New Roman" w:hAnsi="Times New Roman" w:eastAsia="Times New Roman" w:cs="Times New Roman"/>
            <w:color w:val="0000FF"/>
            <w:sz w:val="24"/>
            <w:szCs w:val="24"/>
            <w:u w:val="single" w:color="000000"/>
          </w:rPr>
          <w:t xml:space="preserve">(2)B.3.1._1: ilef_imkanlar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B.3.2. Akademik destek hizmetleri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öğrencilerin akademik gelişimi ve kariyer planlamasına yönelik destek hizmetleri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B.3.3. Tesis ve altyapılar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tesisler ve altyapı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B.3.4. Dezavantajlı gruplar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Dezavantajlı grupların eğitim olanaklarına nitelikli ve adil erişimine ilişkin planlamalar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Dezavantajlı grupların eğitim olanaklarına nitelikli ve adil  erişimine ilişkin planlamalar bulunmaktadır. </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43466a02e32c2fe44" w:history="1">
        <w:r>
          <w:rPr>
            <w:rStyle w:val="DefaultParagraphFontPHPDOCX"/>
            <w:rFonts w:ascii="Times New Roman" w:hAnsi="Times New Roman" w:eastAsia="Times New Roman" w:cs="Times New Roman"/>
            <w:color w:val="0000FF"/>
            <w:sz w:val="24"/>
            <w:szCs w:val="24"/>
            <w:u w:val="single" w:color="000000"/>
          </w:rPr>
          <w:t xml:space="preserve">(2)B.3.4._1: ilef_dezavantajlı_gruplar</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B.3.5. Sosyal, kültürel, sportif faaliyetler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uygun nitelik ve nicelikte sosyal, kültürel ve sportif faaliyet olanakları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 Öğretim Kadrosu</w:t>
      </w:r>
      <w:r>
        <w:rPr>
          <w:rFonts w:ascii="Times New Roman" w:hAnsi="Times New Roman" w:eastAsia="Times New Roman" w:cs="Times New Roman"/>
          <w:b/>
          <w:bCs/>
          <w:color w:val="000000"/>
          <w:sz w:val="28"/>
          <w:szCs w:val="28"/>
        </w:rPr>
        <w:br/>
        <w:t xml:space="preserve">B.4.1. Atama, yükseltme ve görevlendirme kriterleri</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atama, yükseltme ve görevlendirme kriterleri tanımlanmış; ancak planlamada alana özgü ihtiyaçlar irdelenmemiştir.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Kurumun atama, yükseltme ve görevlendirme kriterleri tanımlanmış; ancak planlamada alana özgü ihtiyaçlar irdelenmemiştir.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98766a02e32c30267" w:history="1">
        <w:r>
          <w:rPr>
            <w:rStyle w:val="DefaultParagraphFontPHPDOCX"/>
            <w:rFonts w:ascii="Times New Roman" w:hAnsi="Times New Roman" w:eastAsia="Times New Roman" w:cs="Times New Roman"/>
            <w:color w:val="0000FF"/>
            <w:sz w:val="24"/>
            <w:szCs w:val="24"/>
            <w:u w:val="single" w:color="000000"/>
          </w:rPr>
          <w:t xml:space="preserve">(2)B.4.1._1: Trabzon_Üniversitesi_kriterleri</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B.4.2. Öğretim yetkinlikleri ve gelişimi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öğretim yetkinliğini geliştirmek üzere planlamalar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B.4.3. Eğitim faaliyetlerine yönelik teşvik ve ödüllendirme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Kurumun atama, yükseltme ve görevlendirme kriterleri tanımlanmış; ancak planlamada alana özgü ihtiyaçlar irdelenmemiştir.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2 - Teşvik ve ödüllendirme mekanizmalarının; yetkinlik temelli, adil ve şeffaf biçimde oluşturulmasına yönelik planlar bulunmaktadır.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Kanıtlar</w:t>
      </w:r>
    </w:p>
    <w:p>
      <w:pPr>
        <w:widowControl w:val="on"/>
        <w:pBdr/>
        <w:spacing w:before="240" w:after="240" w:line="240" w:lineRule="auto"/>
        <w:ind w:left="0" w:right="0"/>
        <w:jc w:val="left"/>
      </w:pPr>
      <w:hyperlink xmlns:r="http://schemas.openxmlformats.org/officeDocument/2006/relationships" r:id="rId30476a02e32c3061c" w:history="1">
        <w:r>
          <w:rPr>
            <w:rStyle w:val="DefaultParagraphFontPHPDOCX"/>
            <w:rFonts w:ascii="Times New Roman" w:hAnsi="Times New Roman" w:eastAsia="Times New Roman" w:cs="Times New Roman"/>
            <w:color w:val="0000FF"/>
            <w:sz w:val="24"/>
            <w:szCs w:val="24"/>
            <w:u w:val="single" w:color="000000"/>
          </w:rPr>
          <w:t xml:space="preserve">(2)B.4.3._1: akademik_teşvik</w:t>
        </w:r>
      </w:hyperlink>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C. ARAŞTIRMA VE GELİŞTİRME</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 Araştırma Süreçlerinin Yönetimi ve Araştırma Kaynakları</w:t>
      </w:r>
      <w:r>
        <w:rPr>
          <w:rFonts w:ascii="Times New Roman" w:hAnsi="Times New Roman" w:eastAsia="Times New Roman" w:cs="Times New Roman"/>
          <w:b/>
          <w:bCs/>
          <w:color w:val="000000"/>
          <w:sz w:val="28"/>
          <w:szCs w:val="28"/>
        </w:rPr>
        <w:br/>
        <w:t xml:space="preserve">C.1.1. Araştırma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süreçlerinin yönetimi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C.1.2. İç ve dış kaynaklar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araştırma ve geliştirme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C.1.3. Doktora programları ve doktora sonrası imkanlar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doktora programı ve doktora sonrası imkanları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 Araştırma Yetkinliği, İş birlikleri ve Destekler</w:t>
      </w:r>
      <w:r>
        <w:rPr>
          <w:rFonts w:ascii="Times New Roman" w:hAnsi="Times New Roman" w:eastAsia="Times New Roman" w:cs="Times New Roman"/>
          <w:b/>
          <w:bCs/>
          <w:color w:val="000000"/>
          <w:sz w:val="28"/>
          <w:szCs w:val="28"/>
        </w:rPr>
        <w:br/>
        <w:t xml:space="preserve">C.2.1. Araştırma yetkinlikleri ve gelişimi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yetkinliğinin geliştirilmesine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C.2.2. Ulusal ve uluslararası ortak programlar ve ortak araştırma birimleri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ulusal ve uluslararası düzeyde ortak programlar ve ortak araştırma birimleri oluşturma yönünde mekanizmalar bulunmamaktadır. </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 Araştırma Performansı</w:t>
      </w:r>
      <w:r>
        <w:rPr>
          <w:rFonts w:ascii="Times New Roman" w:hAnsi="Times New Roman" w:eastAsia="Times New Roman" w:cs="Times New Roman"/>
          <w:b/>
          <w:bCs/>
          <w:color w:val="000000"/>
          <w:sz w:val="28"/>
          <w:szCs w:val="28"/>
        </w:rPr>
        <w:br/>
        <w:t xml:space="preserve">C.3.1. Araştırma performansının izlenmesi ve değerlendirilmesi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C.3.2. Öğretim elemanı/araştırmacı performansının değerlendirilmesi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öğretim elemanlarının araştırma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D. TOPLUMSAL KATKI</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 Toplumsal Katkı Süreçlerinin Yönetimi ve Toplumsal Katkı Kaynakları</w:t>
      </w:r>
      <w:r>
        <w:rPr>
          <w:rFonts w:ascii="Times New Roman" w:hAnsi="Times New Roman" w:eastAsia="Times New Roman" w:cs="Times New Roman"/>
          <w:b/>
          <w:bCs/>
          <w:color w:val="000000"/>
          <w:sz w:val="28"/>
          <w:szCs w:val="28"/>
        </w:rPr>
        <w:br/>
        <w:t xml:space="preserve">D.1.1. Toplumsal Katkı Süreçlerinin Yönetimi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süreçlerinin yönetimi ve organizasyonel yapısına ilişkin bir planlama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D.1.2. Kaynaklar</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Kurumun toplumsal katkı faaliyetlerini sürdürebilmesi için yeterli kaynağı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00"/>
          <w:sz w:val="28"/>
          <w:szCs w:val="28"/>
        </w:rPr>
        <w:t xml:space="preserve">D.2. Toplumsal Katkı Performansı</w:t>
      </w:r>
      <w:r>
        <w:rPr>
          <w:rFonts w:ascii="Times New Roman" w:hAnsi="Times New Roman" w:eastAsia="Times New Roman" w:cs="Times New Roman"/>
          <w:b/>
          <w:bCs/>
          <w:color w:val="000000"/>
          <w:sz w:val="28"/>
          <w:szCs w:val="28"/>
        </w:rPr>
        <w:br/>
        <w:t xml:space="preserve">D.2.1. Toplumsal katkı performansının izlenmesi ve değerlendirilmesi</w:t>
      </w:r>
    </w:p>
    <w:p>
      <w:pPr>
        <w:widowControl w:val="on"/>
        <w:pBdr/>
        <w:spacing w:before="240" w:after="240" w:line="240" w:lineRule="auto"/>
        <w:ind w:left="0" w:right="0"/>
        <w:jc w:val="left"/>
      </w:pPr>
      <w:r>
        <w:rPr>
          <w:rFonts w:ascii="Times New Roman" w:hAnsi="Times New Roman" w:eastAsia="Times New Roman" w:cs="Times New Roman"/>
          <w:b/>
          <w:bCs/>
          <w:color w:val="FF0000"/>
          <w:sz w:val="24"/>
          <w:szCs w:val="24"/>
        </w:rPr>
        <w:t xml:space="preserve">Olgunluk Düzeyi</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1 - Kurumda toplumsal katkı performansının izlenmesine ve değerlendirmesine yönelik mekanizmalar bulunmamaktadır.</w:t>
      </w:r>
    </w:p>
    <w:p>
      <w:pPr>
        <w:widowControl w:val="on"/>
        <w:pBdr/>
        <w:spacing w:before="240" w:after="240" w:line="240" w:lineRule="auto"/>
        <w:ind w:left="0" w:right="0"/>
        <w:jc w:val="left"/>
      </w:pPr>
      <w:r>
        <w:rPr>
          <w:rFonts w:ascii="Times New Roman" w:hAnsi="Times New Roman" w:eastAsia="Times New Roman" w:cs="Times New Roman"/>
          <w:color w:val="000000"/>
          <w:sz w:val="24"/>
          <w:szCs w:val="24"/>
        </w:rPr>
        <w:t xml:space="preserve"> </w:t>
      </w:r>
    </w:p>
    <w:p>
      <w:pPr>
        <w:widowControl w:val="on"/>
        <w:pBdr/>
        <w:spacing w:before="280" w:after="280" w:line="240" w:lineRule="auto"/>
        <w:ind w:left="0" w:right="0"/>
        <w:jc w:val="left"/>
      </w:pPr>
      <w:r>
        <w:rPr>
          <w:rFonts w:ascii="Times New Roman" w:hAnsi="Times New Roman" w:eastAsia="Times New Roman" w:cs="Times New Roman"/>
          <w:b/>
          <w:bCs/>
          <w:color w:val="0000FF"/>
          <w:sz w:val="28"/>
          <w:szCs w:val="28"/>
        </w:rPr>
        <w:t xml:space="preserve">SONUÇ VE DEĞERLENDİRME</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Birim/Bölümün güçlü ve gelişmeye açık yönlerinin </w:t>
      </w:r>
      <w:r>
        <w:rPr>
          <w:rFonts w:ascii="Times New Roman" w:hAnsi="Times New Roman" w:eastAsia="Times New Roman" w:cs="Times New Roman"/>
          <w:b/>
          <w:bCs/>
          <w:color w:val="000000"/>
          <w:sz w:val="24"/>
          <w:szCs w:val="24"/>
        </w:rPr>
        <w:t xml:space="preserve">Liderlik, Yönetişim ve Kalite, Eğitim ve Öğretim, Araştırma ve Geliştirme ile Toplumsal Katkı </w:t>
      </w:r>
      <w:r>
        <w:rPr>
          <w:rFonts w:ascii="Times New Roman" w:hAnsi="Times New Roman" w:eastAsia="Times New Roman" w:cs="Times New Roman"/>
          <w:color w:val="000000"/>
          <w:sz w:val="24"/>
          <w:szCs w:val="24"/>
        </w:rPr>
        <w:t xml:space="preserve">başlıkları altında özet olarak sunulması beklenmektedir. Birim/Bölüm daha önce bir dış değerlendirme sürecinden geçmiş ve kuruma sunulmuş bir KGBR/KAR/ İzleme Raporu/ Ara Değerlendirme Raporu varsa bu rapor(lar)da belirtilen gelişmeye açık yönlerin giderilmesi için alınan önlemler, gerçekleştirilen faaliyetler sonucunda sağlanan iyileştirmeler ve ilerleme kaydedilemeyen noktaların neler olduğu açıkça sunulmalı ve mevcut durum değerlendirmesi ayrıntılı olarak verilmelidir.</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 </w:t>
      </w:r>
    </w:p>
    <w:p>
      <w:pPr>
        <w:widowControl w:val="on"/>
        <w:pBdr/>
        <w:spacing w:before="240" w:after="240" w:line="240" w:lineRule="auto"/>
        <w:ind w:left="0" w:right="0"/>
        <w:jc w:val="both"/>
      </w:pPr>
      <w:r>
        <w:rPr>
          <w:rFonts w:ascii="Times New Roman" w:hAnsi="Times New Roman" w:eastAsia="Times New Roman" w:cs="Times New Roman"/>
          <w:color w:val="000000"/>
          <w:sz w:val="24"/>
          <w:szCs w:val="24"/>
        </w:rPr>
        <w:t xml:space="preserve">Bu Raporda yer alan bilgilerin ve kanıtların güvenilir, doğru ve tam olduğunu, Rapor içeriğinde yer alan bilgilerin 2025 yılı içerisinde gerçekleşen faaliyetler ve uygulamalara dayandığını, Raporun YÖKAK tarafından belirtilen yazım kurallarına ve içeriğine uygun olduğunu, kanıt kullanımında KVKK hükümlerine dikkat edildiğini beyan ve taahhüt ederim.</w:t>
      </w:r>
    </w:p>
    <w:p>
      <w:pPr>
        <w:widowControl w:val="on"/>
        <w:pBdr/>
        <w:spacing w:before="240" w:after="240" w:line="240" w:lineRule="auto"/>
        <w:ind w:left="0" w:right="0"/>
        <w:jc w:val="both"/>
      </w:pPr>
    </w:p>
    <w:p>
      <w:r>
        <w:br w:type="page"/>
      </w:r>
    </w:p>
    <w:p>
      <w:pPr>
        <w:widowControl w:val="on"/>
        <w:pBdr/>
        <w:spacing w:before="281" w:after="281" w:line="240" w:lineRule="auto"/>
        <w:ind w:left="0" w:right="0"/>
        <w:jc w:val="left"/>
        <w:outlineLvl w:val="2"/>
      </w:pPr>
      <w:r>
        <w:rPr>
          <w:b/>
          <w:bCs/>
          <w:color w:val="000000"/>
          <w:sz w:val="28"/>
          <w:szCs w:val="28"/>
        </w:rPr>
        <w:t xml:space="preserve">BİRİM İÇ DEĞERLENDİRME RAPORU BEYANI</w:t>
      </w:r>
    </w:p>
    <w:p/>
    <w:p/>
    <w:p>
      <w:pPr>
        <w:widowControl w:val="on"/>
        <w:pBdr/>
        <w:spacing w:before="240" w:after="240" w:line="240" w:lineRule="auto"/>
        <w:ind w:left="0" w:right="0"/>
        <w:jc w:val="both"/>
      </w:pPr>
      <w:r>
        <w:rPr>
          <w:color w:val="000000"/>
          <w:sz w:val="24"/>
          <w:szCs w:val="24"/>
        </w:rPr>
        <w:t xml:space="preserve">         Bu Raporda yer alan bilgilerin ve kanıtların güvenilir, doğru ve tam olduğunu, Rapor içeriğinde yer alan bilgilerin 2025 yılı içerisinde gerçekleşen faaliyetler ve uygulamalara dayandığını, Raporun YÖKAK tarafından belirtilen yazım kurallarına ve içeriğine uygun olduğunu, kanıt kullanımında KVKK hükümlerine dikkat edildiğini beyan ve taahhüt ederim.</w:t>
      </w:r>
    </w:p>
    <w:p/>
    <w:p/>
    <w:p>
      <w:pPr>
        <w:widowControl w:val="on"/>
        <w:pBdr/>
        <w:spacing w:before="240" w:after="240" w:line="240" w:lineRule="auto"/>
        <w:ind w:left="0" w:right="0"/>
        <w:jc w:val="right"/>
      </w:pPr>
      <w:r>
        <w:rPr>
          <w:color w:val="000000"/>
          <w:sz w:val="24"/>
          <w:szCs w:val="24"/>
        </w:rPr>
        <w:t xml:space="preserve">10.12.2025</w:t>
      </w:r>
    </w:p>
    <w:p>
      <w:pPr>
        <w:widowControl w:val="on"/>
        <w:pBdr/>
        <w:spacing w:before="240" w:after="240" w:line="240" w:lineRule="auto"/>
        <w:ind w:left="0" w:right="0"/>
        <w:jc w:val="right"/>
      </w:pPr>
      <w:r>
        <w:rPr>
          <w:color w:val="000000"/>
          <w:sz w:val="24"/>
          <w:szCs w:val="24"/>
        </w:rPr>
        <w:t xml:space="preserve">Dr. Öğr. Üyesi Hüseyin Gençalp</w:t>
      </w:r>
    </w:p>
    <w:p>
      <w:pPr>
        <w:widowControl w:val="on"/>
        <w:pBdr/>
        <w:spacing w:before="240" w:after="240" w:line="240" w:lineRule="auto"/>
        <w:ind w:left="0" w:right="0"/>
        <w:jc w:val="right"/>
      </w:pPr>
      <w:r>
        <w:rPr>
          <w:color w:val="000000"/>
          <w:sz w:val="24"/>
          <w:szCs w:val="24"/>
        </w:rPr>
        <w:t xml:space="preserve">Bölüm Başkanı</w:t>
      </w:r>
    </w:p>
    <w:sectPr xmlns:w="http://schemas.openxmlformats.org/wordprocessingml/2006/main" w:rsidR="00AC197E" w:rsidRPr="00DF064E" w:rsidSect="000F6147">
      <w:pgSz w:w="11906" w:h="16838" w:orient="portrait" w:code="9"/>
      <w:pgMar w:top="1417" w:right="1701" w:bottom="1417" w:left="1701"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p14="http://schemas.microsoft.com/office/word/2010/wordprocessingDrawing" xmlns:w10="urn:schemas-microsoft-com:office:word" xmlns:w14="http://schemas.microsoft.com/office/word/2010/wordml" xmlns:w15="http://schemas.microsoft.com/office/word/2012/wordml" xmlns:w="http://schemas.openxmlformats.org/wordprocessingml/2006/main" xmlns:wne="http://schemas.microsoft.com/office/word/2006/wordml" mc:Ignorable="w14 w15 wp14">
  <w:abstractNum w:abstractNumId="27847">
    <w:multiLevelType w:val="hybridMultilevel"/>
    <w:lvl w:ilvl="0" w:tplc="85480397">
      <w:start w:val="2"/>
      <w:numFmt w:val="decimal"/>
      <w:lvlText w:val="%1."/>
      <w:lvlJc w:val="left"/>
      <w:pPr>
        <w:ind w:left="720" w:hanging="360"/>
      </w:pPr>
    </w:lvl>
    <w:lvl w:ilvl="1" w:tplc="85480397" w:tentative="1">
      <w:start w:val="1"/>
      <w:numFmt w:val="lowerLetter"/>
      <w:lvlText w:val="%2."/>
      <w:lvlJc w:val="left"/>
      <w:pPr>
        <w:ind w:left="1440" w:hanging="360"/>
      </w:pPr>
    </w:lvl>
    <w:lvl w:ilvl="2" w:tplc="85480397" w:tentative="1">
      <w:start w:val="1"/>
      <w:numFmt w:val="lowerRoman"/>
      <w:lvlText w:val="%3."/>
      <w:lvlJc w:val="right"/>
      <w:pPr>
        <w:ind w:left="2160" w:hanging="180"/>
      </w:pPr>
    </w:lvl>
    <w:lvl w:ilvl="3" w:tplc="85480397" w:tentative="1">
      <w:start w:val="1"/>
      <w:numFmt w:val="decimal"/>
      <w:lvlText w:val="%4."/>
      <w:lvlJc w:val="left"/>
      <w:pPr>
        <w:ind w:left="2880" w:hanging="360"/>
      </w:pPr>
    </w:lvl>
    <w:lvl w:ilvl="4" w:tplc="85480397" w:tentative="1">
      <w:start w:val="1"/>
      <w:numFmt w:val="lowerLetter"/>
      <w:lvlText w:val="%5."/>
      <w:lvlJc w:val="left"/>
      <w:pPr>
        <w:ind w:left="3600" w:hanging="360"/>
      </w:pPr>
    </w:lvl>
    <w:lvl w:ilvl="5" w:tplc="85480397" w:tentative="1">
      <w:start w:val="1"/>
      <w:numFmt w:val="lowerRoman"/>
      <w:lvlText w:val="%6."/>
      <w:lvlJc w:val="right"/>
      <w:pPr>
        <w:ind w:left="4320" w:hanging="180"/>
      </w:pPr>
    </w:lvl>
    <w:lvl w:ilvl="6" w:tplc="85480397" w:tentative="1">
      <w:start w:val="1"/>
      <w:numFmt w:val="decimal"/>
      <w:lvlText w:val="%7."/>
      <w:lvlJc w:val="left"/>
      <w:pPr>
        <w:ind w:left="5040" w:hanging="360"/>
      </w:pPr>
    </w:lvl>
    <w:lvl w:ilvl="7" w:tplc="85480397" w:tentative="1">
      <w:start w:val="1"/>
      <w:numFmt w:val="lowerLetter"/>
      <w:lvlText w:val="%8."/>
      <w:lvlJc w:val="left"/>
      <w:pPr>
        <w:ind w:left="5760" w:hanging="360"/>
      </w:pPr>
    </w:lvl>
    <w:lvl w:ilvl="8" w:tplc="85480397" w:tentative="1">
      <w:start w:val="1"/>
      <w:numFmt w:val="lowerRoman"/>
      <w:lvlText w:val="%9."/>
      <w:lvlJc w:val="right"/>
      <w:pPr>
        <w:ind w:left="6480" w:hanging="180"/>
      </w:pPr>
    </w:lvl>
  </w:abstractNum>
  <w:abstractNum w:abstractNumId="18154">
    <w:multiLevelType w:val="hybridMultilevel"/>
    <w:lvl w:ilvl="0" w:tplc="18724566">
      <w:start w:val="1"/>
      <w:numFmt w:val="decimal"/>
      <w:lvlText w:val="%1."/>
      <w:lvlJc w:val="left"/>
      <w:pPr>
        <w:ind w:left="720" w:hanging="360"/>
      </w:pPr>
    </w:lvl>
    <w:lvl w:ilvl="1" w:tplc="18724566" w:tentative="1">
      <w:start w:val="1"/>
      <w:numFmt w:val="lowerLetter"/>
      <w:lvlText w:val="%2."/>
      <w:lvlJc w:val="left"/>
      <w:pPr>
        <w:ind w:left="1440" w:hanging="360"/>
      </w:pPr>
    </w:lvl>
    <w:lvl w:ilvl="2" w:tplc="18724566" w:tentative="1">
      <w:start w:val="1"/>
      <w:numFmt w:val="lowerRoman"/>
      <w:lvlText w:val="%3."/>
      <w:lvlJc w:val="right"/>
      <w:pPr>
        <w:ind w:left="2160" w:hanging="180"/>
      </w:pPr>
    </w:lvl>
    <w:lvl w:ilvl="3" w:tplc="18724566" w:tentative="1">
      <w:start w:val="1"/>
      <w:numFmt w:val="decimal"/>
      <w:lvlText w:val="%4."/>
      <w:lvlJc w:val="left"/>
      <w:pPr>
        <w:ind w:left="2880" w:hanging="360"/>
      </w:pPr>
    </w:lvl>
    <w:lvl w:ilvl="4" w:tplc="18724566" w:tentative="1">
      <w:start w:val="1"/>
      <w:numFmt w:val="lowerLetter"/>
      <w:lvlText w:val="%5."/>
      <w:lvlJc w:val="left"/>
      <w:pPr>
        <w:ind w:left="3600" w:hanging="360"/>
      </w:pPr>
    </w:lvl>
    <w:lvl w:ilvl="5" w:tplc="18724566" w:tentative="1">
      <w:start w:val="1"/>
      <w:numFmt w:val="lowerRoman"/>
      <w:lvlText w:val="%6."/>
      <w:lvlJc w:val="right"/>
      <w:pPr>
        <w:ind w:left="4320" w:hanging="180"/>
      </w:pPr>
    </w:lvl>
    <w:lvl w:ilvl="6" w:tplc="18724566" w:tentative="1">
      <w:start w:val="1"/>
      <w:numFmt w:val="decimal"/>
      <w:lvlText w:val="%7."/>
      <w:lvlJc w:val="left"/>
      <w:pPr>
        <w:ind w:left="5040" w:hanging="360"/>
      </w:pPr>
    </w:lvl>
    <w:lvl w:ilvl="7" w:tplc="18724566" w:tentative="1">
      <w:start w:val="1"/>
      <w:numFmt w:val="lowerLetter"/>
      <w:lvlText w:val="%8."/>
      <w:lvlJc w:val="left"/>
      <w:pPr>
        <w:ind w:left="5760" w:hanging="360"/>
      </w:pPr>
    </w:lvl>
    <w:lvl w:ilvl="8" w:tplc="18724566" w:tentative="1">
      <w:start w:val="1"/>
      <w:numFmt w:val="lowerRoman"/>
      <w:lvlText w:val="%9."/>
      <w:lvlJc w:val="right"/>
      <w:pPr>
        <w:ind w:left="6480" w:hanging="180"/>
      </w:pPr>
    </w:lvl>
  </w:abstractNum>
  <w:abstractNum w:abstractNumId="16517">
    <w:multiLevelType w:val="hybridMultilevel"/>
    <w:lvl w:ilvl="0" w:tplc="69979009">
      <w:start w:val="1"/>
      <w:numFmt w:val="decimal"/>
      <w:lvlText w:val="%1."/>
      <w:lvlJc w:val="left"/>
      <w:pPr>
        <w:ind w:left="720" w:hanging="360"/>
      </w:pPr>
    </w:lvl>
    <w:lvl w:ilvl="1" w:tplc="69979009" w:tentative="1">
      <w:start w:val="1"/>
      <w:numFmt w:val="lowerLetter"/>
      <w:lvlText w:val="%2."/>
      <w:lvlJc w:val="left"/>
      <w:pPr>
        <w:ind w:left="1440" w:hanging="360"/>
      </w:pPr>
    </w:lvl>
    <w:lvl w:ilvl="2" w:tplc="69979009" w:tentative="1">
      <w:start w:val="1"/>
      <w:numFmt w:val="lowerRoman"/>
      <w:lvlText w:val="%3."/>
      <w:lvlJc w:val="right"/>
      <w:pPr>
        <w:ind w:left="2160" w:hanging="180"/>
      </w:pPr>
    </w:lvl>
    <w:lvl w:ilvl="3" w:tplc="69979009" w:tentative="1">
      <w:start w:val="1"/>
      <w:numFmt w:val="decimal"/>
      <w:lvlText w:val="%4."/>
      <w:lvlJc w:val="left"/>
      <w:pPr>
        <w:ind w:left="2880" w:hanging="360"/>
      </w:pPr>
    </w:lvl>
    <w:lvl w:ilvl="4" w:tplc="69979009" w:tentative="1">
      <w:start w:val="1"/>
      <w:numFmt w:val="lowerLetter"/>
      <w:lvlText w:val="%5."/>
      <w:lvlJc w:val="left"/>
      <w:pPr>
        <w:ind w:left="3600" w:hanging="360"/>
      </w:pPr>
    </w:lvl>
    <w:lvl w:ilvl="5" w:tplc="69979009" w:tentative="1">
      <w:start w:val="1"/>
      <w:numFmt w:val="lowerRoman"/>
      <w:lvlText w:val="%6."/>
      <w:lvlJc w:val="right"/>
      <w:pPr>
        <w:ind w:left="4320" w:hanging="180"/>
      </w:pPr>
    </w:lvl>
    <w:lvl w:ilvl="6" w:tplc="69979009" w:tentative="1">
      <w:start w:val="1"/>
      <w:numFmt w:val="decimal"/>
      <w:lvlText w:val="%7."/>
      <w:lvlJc w:val="left"/>
      <w:pPr>
        <w:ind w:left="5040" w:hanging="360"/>
      </w:pPr>
    </w:lvl>
    <w:lvl w:ilvl="7" w:tplc="69979009" w:tentative="1">
      <w:start w:val="1"/>
      <w:numFmt w:val="lowerLetter"/>
      <w:lvlText w:val="%8."/>
      <w:lvlJc w:val="left"/>
      <w:pPr>
        <w:ind w:left="5760" w:hanging="360"/>
      </w:pPr>
    </w:lvl>
    <w:lvl w:ilvl="8" w:tplc="69979009" w:tentative="1">
      <w:start w:val="1"/>
      <w:numFmt w:val="lowerRoman"/>
      <w:lvlText w:val="%9."/>
      <w:lvlJc w:val="right"/>
      <w:pPr>
        <w:ind w:left="6480" w:hanging="180"/>
      </w:pPr>
    </w:lvl>
  </w:abstractNum>
  <w:abstractNum w:abstractNumId="11748">
    <w:multiLevelType w:val="hybridMultilevel"/>
    <w:lvl w:ilvl="0" w:tplc="92780701">
      <w:start w:val="1"/>
      <w:numFmt w:val="decimal"/>
      <w:lvlText w:val="%1."/>
      <w:lvlJc w:val="left"/>
      <w:pPr>
        <w:ind w:left="720" w:hanging="360"/>
      </w:pPr>
    </w:lvl>
    <w:lvl w:ilvl="1" w:tplc="92780701" w:tentative="1">
      <w:start w:val="1"/>
      <w:numFmt w:val="lowerLetter"/>
      <w:lvlText w:val="%2."/>
      <w:lvlJc w:val="left"/>
      <w:pPr>
        <w:ind w:left="1440" w:hanging="360"/>
      </w:pPr>
    </w:lvl>
    <w:lvl w:ilvl="2" w:tplc="92780701" w:tentative="1">
      <w:start w:val="1"/>
      <w:numFmt w:val="lowerRoman"/>
      <w:lvlText w:val="%3."/>
      <w:lvlJc w:val="right"/>
      <w:pPr>
        <w:ind w:left="2160" w:hanging="180"/>
      </w:pPr>
    </w:lvl>
    <w:lvl w:ilvl="3" w:tplc="92780701" w:tentative="1">
      <w:start w:val="1"/>
      <w:numFmt w:val="decimal"/>
      <w:lvlText w:val="%4."/>
      <w:lvlJc w:val="left"/>
      <w:pPr>
        <w:ind w:left="2880" w:hanging="360"/>
      </w:pPr>
    </w:lvl>
    <w:lvl w:ilvl="4" w:tplc="92780701" w:tentative="1">
      <w:start w:val="1"/>
      <w:numFmt w:val="lowerLetter"/>
      <w:lvlText w:val="%5."/>
      <w:lvlJc w:val="left"/>
      <w:pPr>
        <w:ind w:left="3600" w:hanging="360"/>
      </w:pPr>
    </w:lvl>
    <w:lvl w:ilvl="5" w:tplc="92780701" w:tentative="1">
      <w:start w:val="1"/>
      <w:numFmt w:val="lowerRoman"/>
      <w:lvlText w:val="%6."/>
      <w:lvlJc w:val="right"/>
      <w:pPr>
        <w:ind w:left="4320" w:hanging="180"/>
      </w:pPr>
    </w:lvl>
    <w:lvl w:ilvl="6" w:tplc="92780701" w:tentative="1">
      <w:start w:val="1"/>
      <w:numFmt w:val="decimal"/>
      <w:lvlText w:val="%7."/>
      <w:lvlJc w:val="left"/>
      <w:pPr>
        <w:ind w:left="5040" w:hanging="360"/>
      </w:pPr>
    </w:lvl>
    <w:lvl w:ilvl="7" w:tplc="92780701" w:tentative="1">
      <w:start w:val="1"/>
      <w:numFmt w:val="lowerLetter"/>
      <w:lvlText w:val="%8."/>
      <w:lvlJc w:val="left"/>
      <w:pPr>
        <w:ind w:left="5760" w:hanging="360"/>
      </w:pPr>
    </w:lvl>
    <w:lvl w:ilvl="8" w:tplc="92780701" w:tentative="1">
      <w:start w:val="1"/>
      <w:numFmt w:val="lowerRoman"/>
      <w:lvlText w:val="%9."/>
      <w:lvlJc w:val="right"/>
      <w:pPr>
        <w:ind w:left="6480" w:hanging="180"/>
      </w:pPr>
    </w:lvl>
  </w:abstractNum>
  <w:abstractNum w:abstractNumId="22242">
    <w:multiLevelType w:val="hybridMultilevel"/>
    <w:lvl w:ilvl="0" w:tplc="70068896">
      <w:start w:val="1"/>
      <w:numFmt w:val="decimal"/>
      <w:lvlText w:val="%1."/>
      <w:lvlJc w:val="left"/>
      <w:pPr>
        <w:ind w:left="720" w:hanging="360"/>
      </w:pPr>
    </w:lvl>
    <w:lvl w:ilvl="1" w:tplc="70068896" w:tentative="1">
      <w:start w:val="1"/>
      <w:numFmt w:val="lowerLetter"/>
      <w:lvlText w:val="%2."/>
      <w:lvlJc w:val="left"/>
      <w:pPr>
        <w:ind w:left="1440" w:hanging="360"/>
      </w:pPr>
    </w:lvl>
    <w:lvl w:ilvl="2" w:tplc="70068896" w:tentative="1">
      <w:start w:val="1"/>
      <w:numFmt w:val="lowerRoman"/>
      <w:lvlText w:val="%3."/>
      <w:lvlJc w:val="right"/>
      <w:pPr>
        <w:ind w:left="2160" w:hanging="180"/>
      </w:pPr>
    </w:lvl>
    <w:lvl w:ilvl="3" w:tplc="70068896" w:tentative="1">
      <w:start w:val="1"/>
      <w:numFmt w:val="decimal"/>
      <w:lvlText w:val="%4."/>
      <w:lvlJc w:val="left"/>
      <w:pPr>
        <w:ind w:left="2880" w:hanging="360"/>
      </w:pPr>
    </w:lvl>
    <w:lvl w:ilvl="4" w:tplc="70068896" w:tentative="1">
      <w:start w:val="1"/>
      <w:numFmt w:val="lowerLetter"/>
      <w:lvlText w:val="%5."/>
      <w:lvlJc w:val="left"/>
      <w:pPr>
        <w:ind w:left="3600" w:hanging="360"/>
      </w:pPr>
    </w:lvl>
    <w:lvl w:ilvl="5" w:tplc="70068896" w:tentative="1">
      <w:start w:val="1"/>
      <w:numFmt w:val="lowerRoman"/>
      <w:lvlText w:val="%6."/>
      <w:lvlJc w:val="right"/>
      <w:pPr>
        <w:ind w:left="4320" w:hanging="180"/>
      </w:pPr>
    </w:lvl>
    <w:lvl w:ilvl="6" w:tplc="70068896" w:tentative="1">
      <w:start w:val="1"/>
      <w:numFmt w:val="decimal"/>
      <w:lvlText w:val="%7."/>
      <w:lvlJc w:val="left"/>
      <w:pPr>
        <w:ind w:left="5040" w:hanging="360"/>
      </w:pPr>
    </w:lvl>
    <w:lvl w:ilvl="7" w:tplc="70068896" w:tentative="1">
      <w:start w:val="1"/>
      <w:numFmt w:val="lowerLetter"/>
      <w:lvlText w:val="%8."/>
      <w:lvlJc w:val="left"/>
      <w:pPr>
        <w:ind w:left="5760" w:hanging="360"/>
      </w:pPr>
    </w:lvl>
    <w:lvl w:ilvl="8" w:tplc="70068896" w:tentative="1">
      <w:start w:val="1"/>
      <w:numFmt w:val="lowerRoman"/>
      <w:lvlText w:val="%9."/>
      <w:lvlJc w:val="right"/>
      <w:pPr>
        <w:ind w:left="6480" w:hanging="180"/>
      </w:pPr>
    </w:lvl>
  </w:abstractNum>
  <w:abstractNum w:abstractNumId="21796">
    <w:multiLevelType w:val="hybridMultilevel"/>
    <w:lvl w:ilvl="0" w:tplc="972672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796">
    <w:abstractNumId w:val="21796"/>
  </w:num>
  <w:num w:numId="22242">
    <w:abstractNumId w:val="22242"/>
  </w:num>
  <w:num w:numId="11748">
    <w:abstractNumId w:val="11748"/>
  </w:num>
  <w:num w:numId="16517">
    <w:abstractNumId w:val="16517"/>
  </w:num>
  <w:num w:numId="18154">
    <w:abstractNumId w:val="18154"/>
  </w:num>
  <w:num w:numId="27847">
    <w:abstractNumId w:val="278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
<Relationships xmlns="http://schemas.openxmlformats.org/package/2006/relationships"></Relationships>
</file>

<file path=word/_rels/document.xml.rels><?xml version="1.0" encoding="UTF-8" standalone="yes"?>
<Relationships xmlns="http://schemas.openxmlformats.org/package/2006/relationships">
<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 Id="rId10" Type="http://schemas.openxmlformats.org/officeDocument/2006/relationships/comments" Target="comments.xml"/>
<Relationship Id="rId908658200" Type="http://schemas.microsoft.com/office/2011/relationships/commentsExtended" Target="commentsExtended.xml"/><Relationship Id="rId70336a02e32c2b855" Type="http://schemas.openxmlformats.org/officeDocument/2006/relationships/hyperlink" Target="http://radyotvsinema.iletisim.trabzon.edu.tr/S/3446/hakkimizda" TargetMode="External"/><Relationship Id="rId55486a02e32c2be39" Type="http://schemas.openxmlformats.org/officeDocument/2006/relationships/hyperlink" Target="http://radyotvsinema.iletisim.trabzon.edu.tr/S/3446/hakkimizda" TargetMode="External"/><Relationship Id="rId65486a02e32c2c31c" Type="http://schemas.openxmlformats.org/officeDocument/2006/relationships/hyperlink" Target="http://radyotvsinema.iletisim.trabzon.edu.tr/S/3450/yonetim" TargetMode="External"/><Relationship Id="rId10396a02e32c2c644" Type="http://schemas.openxmlformats.org/officeDocument/2006/relationships/hyperlink" Target="mailto:hgencalp@trabzon.edu.tr" TargetMode="External"/><Relationship Id="rId40846a02e32c2c826" Type="http://schemas.openxmlformats.org/officeDocument/2006/relationships/hyperlink" Target="http://radyotvsinema.iletisim.trabzon.edu.tr/S/3445/akademik-kadro" TargetMode="External"/><Relationship Id="rId84156a02e32c2caee" Type="http://schemas.openxmlformats.org/officeDocument/2006/relationships/hyperlink" Target="http://radyotvsinema.iletisim.trabzon.edu.tr/S/3450/yonetim" TargetMode="External"/><Relationship Id="rId80016a02e32c2cb4e" Type="http://schemas.openxmlformats.org/officeDocument/2006/relationships/hyperlink" Target="http://radyotvsinema.iletisim.trabzon.edu.tr/S/3449/idari-personel" TargetMode="External"/><Relationship Id="rId56966a02e32c2d380" Type="http://schemas.openxmlformats.org/officeDocument/2006/relationships/hyperlink" Target="http://radyotvsinema.iletisim.trabzon.edu.tr/S/3446/hakkimizda" TargetMode="External"/><Relationship Id="rId41266a02e32c2d3e1" Type="http://schemas.openxmlformats.org/officeDocument/2006/relationships/hyperlink" Target="http://radyotvsinema.iletisim.trabzon.edu.tr/S/3446/hakkimizda" TargetMode="External"/><Relationship Id="rId55126a02e32c2d440" Type="http://schemas.openxmlformats.org/officeDocument/2006/relationships/hyperlink" Target="http://radyotvsinema.iletisim.trabzon.edu.tr/S/3446/hakkimizda" TargetMode="External"/><Relationship Id="rId16146a02e32c2e912" Type="http://schemas.openxmlformats.org/officeDocument/2006/relationships/hyperlink" Target="https://kidr.trabzon.edu.tr/indir.php?yol=./dosyayukle/d6f59421372991724f9212dd73fcadbe.pdf&amp;yeni=B.1.2._1%3A++rts_ders_program%C4%B1" TargetMode="External"/><Relationship Id="rId43626a02e32c2ef73" Type="http://schemas.openxmlformats.org/officeDocument/2006/relationships/hyperlink" Target="https://kidr.trabzon.edu.tr/indir.php?yol=./dosyayukle/01cdc5e9e109d0645d24f53f3e7afbed.pdf&amp;yeni=B.1.6._1%3A+rts_ders_program%C4%B1" TargetMode="External"/><Relationship Id="rId61716a02e32c2efd4" Type="http://schemas.openxmlformats.org/officeDocument/2006/relationships/hyperlink" Target="https://kidr.trabzon.edu.tr/indir.php?yol=./dosyayukle/4360732d21747b120676af9887a4fc41.pdf&amp;yeni=B.1.6._2%3A+rts_s%C4%B1nav_program%C4%B1" TargetMode="External"/><Relationship Id="rId93786a02e32c2f268" Type="http://schemas.openxmlformats.org/officeDocument/2006/relationships/hyperlink" Target="https://kidr.trabzon.edu.tr/indir.php?yol=./dosyayukle/1a95c1a771b61c0e934ed9b70bdc90d9.pdf&amp;yeni=B.2.1._1%3A+dizi_seti_teknik_gezi" TargetMode="External"/><Relationship Id="rId88096a02e32c2f8fc" Type="http://schemas.openxmlformats.org/officeDocument/2006/relationships/hyperlink" Target="https://iletisim.trabzon.edu.tr/S/3224/imkanlarimiz" TargetMode="External"/><Relationship Id="rId43466a02e32c2fe44" Type="http://schemas.openxmlformats.org/officeDocument/2006/relationships/hyperlink" Target="https://iletisim.trabzon.edu.tr/S/3224/imkanlarimiz" TargetMode="External"/><Relationship Id="rId98766a02e32c30267" Type="http://schemas.openxmlformats.org/officeDocument/2006/relationships/hyperlink" Target="https://kidr.trabzon.edu.tr/index.php?s=rgor&amp;id=351" TargetMode="External"/><Relationship Id="rId30476a02e32c3061c" Type="http://schemas.openxmlformats.org/officeDocument/2006/relationships/hyperlink" Target="https://personel.trabzon.edu.tr/S/3421/akademik-tesvik" TargetMode="External"/></Relationships>

</file>

<file path=word/_rels/endnotes.xml.rels><?xml version="1.0" encoding="UTF-8" standalone="yes"?>
<Relationships xmlns="http://schemas.openxmlformats.org/package/2006/relationships"></Relationships>
</file>

<file path=word/_rels/footnotes.xml.rels><?xml version="1.0" encoding="UTF-8" standalone="yes"?>
<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